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af1"/>
        <w:tblpPr w:horzAnchor="margin" w:tblpX="81" w:vertAnchor="text" w:tblpY="197" w:leftFromText="180" w:rightFromText="180"/>
        <w:tblW w:w="970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175"/>
        <w:gridCol w:w="4637"/>
        <w:gridCol w:w="425"/>
        <w:gridCol w:w="1843"/>
      </w:tblGrid>
      <w:tr>
        <w:trPr>
          <w:trHeight w:val="993"/>
        </w:trPr>
        <w:tc>
          <w:tcPr>
            <w:tcW w:w="9707" w:type="dxa"/>
            <w:gridSpan w:val="5"/>
          </w:tcPr>
          <w:p>
            <w:pPr>
              <w:rPr>
                <w:sz w:val="12"/>
                <w:szCs w:val="12"/>
              </w:rPr>
            </w:pPr>
          </w:p>
          <w:p>
            <w:pPr>
              <w:rPr>
                <w:sz w:val="12"/>
                <w:szCs w:val="12"/>
              </w:rPr>
            </w:pPr>
          </w:p>
          <w:p>
            <w:pPr>
              <w:rPr>
                <w:sz w:val="12"/>
                <w:szCs w:val="12"/>
              </w:rPr>
            </w:pPr>
          </w:p>
          <w:p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>
        <w:trPr>
          <w:trHeight w:val="292"/>
        </w:trPr>
        <w:tc>
          <w:tcPr>
            <w:tcW w:w="9707" w:type="dxa"/>
            <w:gridSpan w:val="5"/>
            <w:vAlign w:val="center"/>
          </w:tcPr>
          <w:p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>
        <w:trPr>
          <w:trHeight w:val="680" w:hRule="exact"/>
        </w:trPr>
        <w:tc>
          <w:tcPr>
            <w:tcW w:w="2802" w:type="dxa"/>
            <w:gridSpan w:val="2"/>
            <w:vAlign w:val="bottom"/>
          </w:tcPr>
          <w:p>
            <w:pPr>
              <w:jc w:val="center"/>
            </w:pPr>
            <w:r>
              <w:fldChar w:fldCharType="begin"/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>
              <w:t xml:space="preserve">     </w:t>
            </w:r>
            <w:r>
              <w:fldChar w:fldCharType="end"/>
            </w:r>
            <w:bookmarkEnd w:id="0"/>
          </w:p>
        </w:tc>
        <w:tc>
          <w:tcPr>
            <w:tcW w:w="4637" w:type="dxa"/>
            <w:vAlign w:val="bottom"/>
          </w:tcPr>
          <w:p/>
        </w:tc>
        <w:tc>
          <w:tcPr>
            <w:tcW w:w="2268" w:type="dxa"/>
            <w:gridSpan w:val="2"/>
            <w:vAlign w:val="bottom"/>
          </w:tcPr>
          <w:p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t xml:space="preserve">     </w:t>
            </w:r>
            <w:r>
              <w:fldChar w:fldCharType="end"/>
            </w:r>
          </w:p>
        </w:tc>
      </w:tr>
      <w:tr>
        <w:trPr>
          <w:trHeight w:val="510" w:hRule="exact"/>
        </w:trPr>
        <w:tc>
          <w:tcPr>
            <w:tcW w:w="9707" w:type="dxa"/>
            <w:gridSpan w:val="5"/>
          </w:tcPr>
          <w:p/>
        </w:tc>
      </w:tr>
      <w:tr>
        <w:trPr>
          <w:trHeight w:val="826"/>
        </w:trPr>
        <w:tc>
          <w:tcPr>
            <w:tcW w:w="1627" w:type="dxa"/>
          </w:tcPr>
          <w:p/>
        </w:tc>
        <w:tc>
          <w:tcPr>
            <w:tcW w:w="6237" w:type="dxa"/>
            <w:gridSpan w:val="3"/>
          </w:tcPr>
          <w:p>
            <w:pPr>
              <w:jc w:val="center"/>
              <w:rPr>
                <w:rFonts w:eastAsia="WenQuanYi Micro Hei" w:cs="Lohit Devanagari"/>
              </w:rPr>
            </w:pPr>
            <w:r>
              <w:t xml:space="preserve"> </w:t>
            </w:r>
            <w:r>
              <w:rPr>
                <w:rFonts w:eastAsia="WenQuanYi Micro Hei" w:cs="Lohit Devanagari"/>
              </w:rPr>
              <w:t xml:space="preserve">О внесении изменений в Положение о порядке рассмотрения обращений граждан в комитете по делам архивов Нижегородской, утвержденное приказом комитета по делам архивов Нижегородской области </w:t>
            </w:r>
          </w:p>
          <w:p>
            <w:pPr>
              <w:jc w:val="center"/>
            </w:pPr>
            <w:r>
              <w:rPr>
                <w:rFonts w:eastAsia="WenQuanYi Micro Hei" w:cs="Lohit Devanagari"/>
              </w:rPr>
              <w:t xml:space="preserve">от 2 октября 2013 г. № 82 </w:t>
            </w:r>
            <w:r>
              <w:t xml:space="preserve">    </w:t>
            </w:r>
          </w:p>
        </w:tc>
        <w:tc>
          <w:tcPr>
            <w:tcW w:w="1843" w:type="dxa"/>
          </w:tcPr>
          <w:p/>
        </w:tc>
      </w:tr>
    </w:tbl>
    <w:p>
      <w:pPr>
        <w:sectPr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1134" w:right="851" w:bottom="1134" w:left="1418" w:header="425" w:footer="720" w:gutter="0"/>
          <w:cols w:space="720"/>
          <w:docGrid w:linePitch="360"/>
          <w:titlePg/>
        </w:sectPr>
      </w:pPr>
    </w:p>
    <w:p>
      <w:pPr>
        <w:spacing w:line="360" w:lineRule="auto"/>
        <w:jc w:val="both"/>
        <w:rPr>
          <w:rFonts w:eastAsia="WenQuanYi Micro Hei" w:cs="Lohit Devanagari"/>
        </w:rPr>
      </w:pPr>
    </w:p>
    <w:p>
      <w:pPr>
        <w:spacing w:line="360" w:lineRule="auto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В связи с необходимостью приведения в соответствие с Федеральным законом от 2 мая 2006 г. № 59-ФЗ «О порядке рассмотрения обращений граждан Российской Федерации» (далее – Федеральный закон), Законом Нижегородской области от 7 сентября 2007 г. № 124-З «О дополнительных гарантиях права граждан на обращение в Нижегородской области», в связи с кадровыми изменениями в комитете по делам архивов Нижегородской области (далее – комитет)</w:t>
      </w:r>
    </w:p>
    <w:p>
      <w:pPr>
        <w:jc w:val="both"/>
        <w:rPr>
          <w:rFonts w:eastAsia="WenQuanYi Micro Hei" w:cs="Lohit Devanagari"/>
        </w:rPr>
      </w:pPr>
    </w:p>
    <w:p>
      <w:pPr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приказываю:</w:t>
      </w:r>
    </w:p>
    <w:p>
      <w:pPr>
        <w:jc w:val="both"/>
        <w:rPr>
          <w:rFonts w:eastAsia="WenQuanYi Micro Hei" w:cs="Lohit Devanagari"/>
        </w:rPr>
      </w:pPr>
    </w:p>
    <w:p>
      <w:pPr>
        <w:spacing w:line="360" w:lineRule="auto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ab/>
        <w:t xml:space="preserve">Внести в Положение о порядке рассмотрения обращений граждан в комитете по делам архивов Нижегородской области, утвержденное приказом комитета по делам архивов Нижегородской области от 2 октября 2013 г. № 82 (далее – Положение), следующие изменения:</w:t>
      </w:r>
    </w:p>
    <w:p>
      <w:pPr>
        <w:spacing w:line="360" w:lineRule="auto"/>
        <w:ind w:left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1) пункт 1.3 изложить в следующей редакции:</w:t>
      </w:r>
    </w:p>
    <w:p>
      <w:pPr>
        <w:spacing w:line="360" w:lineRule="auto"/>
        <w:ind w:firstLine="720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«1.3. Комитет по делам архивов Нижегородской области (далее - Комитет) в пределах своей компетенции обеспечивает организацию личного приема граждан, рассмотрение индивидуальных или коллективных обращений граждан, объединений граждан, в том числе юридических лиц, поступивших в </w:t>
      </w:r>
      <w:r>
        <w:rPr>
          <w:rFonts w:eastAsia="WenQuanYi Micro Hei" w:cs="Lohit Devanagari"/>
        </w:rPr>
        <w:t xml:space="preserve">Комитет в письменной форме, телеграммой или посредством факсимильной связи,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Комитета либо </w:t>
      </w:r>
      <w:hyperlink r:id="rId11" w:tgtFrame="https://kadr.nobl.ru/">
        <w:r>
          <w:rPr>
            <w:rFonts w:eastAsia="WenQuanYi Micro Hei" w:cs="Lohit Devanagari"/>
          </w:rPr>
          <w:t xml:space="preserve">официального сайта</w:t>
        </w:r>
      </w:hyperlink>
      <w:r>
        <w:rPr>
          <w:rFonts w:eastAsia="WenQuanYi Micro Hei" w:cs="Lohit Devanagari"/>
        </w:rPr>
        <w:t xml:space="preserve"> Комитета в информационно-телекоммуникационной сети "Интернет", обеспечивающих идентификацию и (или) аутентификацию граждан (если иное не установлено </w:t>
      </w:r>
      <w:hyperlink r:id="rId12" w:tgtFrame="http://192.168.154.11:3000/document/redirect/12146661/0">
        <w:r>
          <w:rPr>
            <w:rFonts w:eastAsia="WenQuanYi Micro Hei" w:cs="Lohit Devanagari"/>
          </w:rPr>
          <w:t xml:space="preserve">Федеральным законом</w:t>
        </w:r>
      </w:hyperlink>
      <w:r>
        <w:rPr>
          <w:color w:val="000000"/>
          <w:sz w:val="24"/>
        </w:rPr>
        <w:t xml:space="preserve">), </w:t>
      </w:r>
      <w:r>
        <w:rPr>
          <w:rFonts w:eastAsia="WenQuanYi Micro Hei" w:cs="Lohit Devanagari"/>
        </w:rPr>
        <w:t xml:space="preserve">или в форме устного обращения к должностному лицу комитета во время личного приема граждан, принятие по ним решений и направление ответа в установленный законом срок.»;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2) в абзаце шестом пункта 1.5 слова «заместителя руководителя» заменить словами «первого заместителя руководителя»;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3) пункт 1.6 изложить в следующей редакции: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«1.6. Заявитель имеет право лично обратиться в Комитет, направить обращение в письменной форме или в форме электронного документа.»;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4) абзац четвертый пункта 1.7 изложить в следующей редакции: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«обращение в форме электронного документа путем заполнения в установленном порядке электронной формы заявления с использованием информационно-телекоммуникационной сети «Интернет» (далее - сеть Интернет) в федеральной государственной информационной системе «Единый портал государственных и муниципальных услуг (функций)» (www.gosuslugi.ru), государственной информационной системы «Единый интернет-портал государственных и муниципальных услуг (функций) Нижегородской области» (www.gu.nnov.ru) (далее - Портал), иной информационной системы Комитета либо на официальном сайте Комитета, обеспечивающих идентификацию и (или) аутентификацию гражданина, (если иное не установлено </w:t>
      </w:r>
      <w:hyperlink r:id="rId13" w:tgtFrame="http://192.168.154.11:3000/document/redirect/12146661/0">
        <w:r>
          <w:rPr>
            <w:rFonts w:eastAsia="WenQuanYi Micro Hei" w:cs="Lohit Devanagari"/>
          </w:rPr>
          <w:t xml:space="preserve">Федеральным законом</w:t>
        </w:r>
      </w:hyperlink>
      <w:r>
        <w:rPr>
          <w:rFonts w:eastAsia="WenQuanYi Micro Hei" w:cs="Lohit Devanagari"/>
        </w:rPr>
        <w:t xml:space="preserve">)»;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5) абзац шестой пункта 2.1.1 изложить в следующей редакции: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«- при приеме обращения в форме электронного документа, в том числе с использованием Единого портала, иной информационной системы Комитета, </w:t>
      </w:r>
      <w:r>
        <w:rPr>
          <w:rFonts w:eastAsia="WenQuanYi Micro Hei" w:cs="Lohit Devanagari"/>
        </w:rPr>
        <w:t xml:space="preserve">официального сайта Комитета, обеспечивающих идентификацию и (или) аутентификацию гражданина, распечатывает его на бумажном носителе, и дальнейшая работа с ним производится в порядке, предусмотренном для обращений в письменной форме, согласно Федеральному закону;»;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6) абзац первый пункта 2.2.1 изложить в следующей редакции: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«2.2.1. Обращение, поступившее в Комитет в письменной форме, факсимильной связью или в форме электронного документа, в том числе с использованием Единого портала, иной информационной системы Комитета, официального сайта Комитета, обеспечивающих идентификацию и (или) аутентификацию гражданина, подлежит обязательному рассмотрению в порядке, установленном Федеральным законом и настоящим Положением.»;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7) абзацы первый и второй пункта 2.2.2 изложить в следующей редакции: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«Общий срок рассмотрения обращений – в течение 30 дней со дня регистрации, за исключением случая, установленного частью 1.1 статьи 12 Федерального закона. Руководитель вправе устанавливать сокращенные сроки рассмотрения отдельных обращений граждан.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В соответствии с частью 2 статьи 12 Федерального закона в исключительных случаях, а также в случае направления запроса, предусмотренного частью 2 статьи 10 Федерального закона, срок рассмотрения обращения может быть продлен, не более чем на 30 дней. Гражданин, направивший обращение, уведомляется о продлении срока его рассмотрения.»;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8) в абзаце первом пункта 2.2.13, пункте 2.2.14 слова «от 2 мая 2006 г.       № 59-ФЗ «О порядке рассмотрения обращений граждан Российской Федерации»» исключить;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9) абзац первый пункта 2.3.1 изложить в следующей редакции: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«На зарегистрированные в СЭДО обращения, поступившие на рассмотрение в Комитет, уполномоченным сотрудником Комитета готовятся проекты резолюций, которые направляются для рассмотрения руководителю комитета или уполномоченному должностному лицу, его замещающему. Проект резолюции руководителя комитета, или уполномоченного </w:t>
      </w:r>
      <w:r>
        <w:rPr>
          <w:rFonts w:eastAsia="WenQuanYi Micro Hei" w:cs="Lohit Devanagari"/>
        </w:rPr>
        <w:t xml:space="preserve">должностного лица, его замещающего, содержащий фамилию и инициалы уполномоченного должностного лица или нескольких лиц Комитета, в компетенцию которых входит решение поставленных в обращении вопросов, и текст поручения может состоять из нескольких частей, предписывающих каждому исполнителю самостоятельное действие, порядок и сроки рассмотрения, признак постановки обращения на контроль, если в поручении указано на необходимость доложить (проинформировать) о результатах рассмотрения обращения, либо осуществить контроль.»;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10) пункт 2.3.2 изложить в следующей редакции: 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«2.3.2. При подготовке ответов на обращения граждан должностное лицо, ответственное за рассмотрение обращения, рассматривает его в соответствии с резолюцией руководителя комитета, либо лица, исполняющего его обязанности.»;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11) абзац второй пункта 2.3.10 изложить в следующей редакции:</w:t>
      </w:r>
    </w:p>
    <w:p>
      <w:pPr>
        <w:spacing w:line="360" w:lineRule="auto"/>
        <w:ind w:firstLine="720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«Ответ на обращение направляется в форме электронного документа по адресу электронной почты, указанному в обращении, поступившем в Комитет в форме электронного документа, либо по адресу (уникальному идентификатору) личного кабинета гражданина на </w:t>
      </w:r>
      <w:hyperlink r:id="rId14" w:tgtFrame="http://www.gosuslugi.ru/">
        <w:r>
          <w:rPr>
            <w:rFonts w:eastAsia="WenQuanYi Micro Hei" w:cs="Lohit Devanagari"/>
          </w:rPr>
          <w:t xml:space="preserve">Едином портале</w:t>
        </w:r>
      </w:hyperlink>
      <w:r>
        <w:rPr>
          <w:rFonts w:eastAsia="WenQuanYi Micro Hei" w:cs="Lohit Devanagari"/>
        </w:rPr>
        <w:t xml:space="preserve"> или в иной информационной системе Комитета,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Комитет. Кроме того, на поступившее в Комитет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на официальном сайте Комитета в информационно-телекоммуникационной сети «Интернет».»;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12) в абзаце третьем пункта 3.1, абзаце первом пункта 4.3 слова «заместителем руководителя» заменить словами «первым заместителем руководителя»;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13) в абзаце четвертом пункта 3.1, абзаце втором пункта 4.3 слова «мониторинга и регулирования архивного дела» заменить словами «мониторинга архивного дела и предоставления государственных услуг»;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14) абзац четвертый пункта 3.2 изложить в следующей редакции: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 xml:space="preserve">«Правом на личный прием в первоочередном порядке обладают ветераны Великой Отечественной войны, ветераны и инвалиды боевых действий, члены их семей, члены семей погибших (умерших) ветеранов и инвалидов боевых действий; граждане, призванные на военную службу по мобилизации в соответствии с </w:t>
      </w:r>
      <w:hyperlink r:id="rId15" w:anchor="/document/405309425/entry/0" w:history="1">
        <w:r>
          <w:rPr>
            <w:rFonts w:eastAsia="WenQuanYi Micro Hei" w:cs="Lohit Devanagari"/>
          </w:rPr>
          <w:t xml:space="preserve">Указом</w:t>
        </w:r>
      </w:hyperlink>
      <w:r>
        <w:rPr>
          <w:rFonts w:eastAsia="WenQuanYi Micro Hei" w:cs="Lohit Devanagari"/>
        </w:rPr>
        <w:t xml:space="preserve"> Президента Российской Федерации от 21 сентября       2022 года № 647 "Об объявлении частичной мобилизации в Российской Федерации", или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СВО, или заключившие контракт с Министерством обороны Российской Федерации на прохождение военной службы в целях участия в СВО, а также принимающие участие в СВО военнослужащие, проходящие военную службу по контракту, и сотрудники (военнослужащие) войск национальной гвардии Российской Федерации, не являющиеся ветеранами боевых действий, а также члены их семей; инвалиды I группы и их опекуны; родители, опекуны и попечители детей-инвалидов; беременные женщины; родители, явившиеся на личный прием с ребенком в возрасте до трех лет; лица, удостоенные Почетного звания "Почетный гражданин Нижегородской области"; иные категории граждан в соответствии с </w:t>
      </w:r>
      <w:hyperlink r:id="rId16" w:anchor="/document/12146661/entry/1307" w:history="1">
        <w:r>
          <w:rPr>
            <w:rFonts w:eastAsia="WenQuanYi Micro Hei" w:cs="Lohit Devanagari"/>
          </w:rPr>
          <w:t xml:space="preserve">частью 7 статьи 13 </w:t>
        </w:r>
      </w:hyperlink>
      <w:r>
        <w:rPr>
          <w:rFonts w:eastAsia="WenQuanYi Micro Hei" w:cs="Lohit Devanagari"/>
        </w:rPr>
        <w:t xml:space="preserve">Федерального закона.». </w:t>
      </w:r>
    </w:p>
    <w:p>
      <w:pPr>
        <w:spacing w:line="360" w:lineRule="auto"/>
        <w:ind w:firstLine="709"/>
        <w:jc w:val="both"/>
        <w:rPr>
          <w:rFonts w:eastAsia="WenQuanYi Micro Hei" w:cs="Lohit Devanagari"/>
        </w:rPr>
      </w:pPr>
    </w:p>
    <w:p>
      <w:pPr>
        <w:spacing w:line="360" w:lineRule="auto"/>
        <w:jc w:val="both"/>
        <w:rPr>
          <w:rFonts w:eastAsia="WenQuanYi Micro Hei" w:cs="Lohit Devanagari"/>
        </w:rPr>
      </w:pPr>
      <w:r>
        <w:rPr>
          <w:rFonts w:eastAsia="WenQuanYi Micro Hei" w:cs="Lohit Devanagari"/>
        </w:rPr>
        <w:tab/>
      </w:r>
    </w:p>
    <w:p>
      <w:pPr>
        <w:spacing w:line="360" w:lineRule="auto"/>
        <w:jc w:val="both"/>
        <w:rPr>
          <w:rFonts w:eastAsia="WenQuanYi Micro Hei" w:cs="Lohit Devanagari"/>
        </w:rPr>
      </w:pPr>
    </w:p>
    <w:p>
      <w:pPr>
        <w:jc w:val="center"/>
      </w:pPr>
      <w:r>
        <w:rPr>
          <w:rFonts w:eastAsia="WenQuanYi Micro Hei" w:cs="Lohit Devanagari"/>
        </w:rPr>
        <w:t xml:space="preserve">Руководитель</w:t>
      </w:r>
      <w:r>
        <w:rPr>
          <w:rFonts w:eastAsia="WenQuanYi Micro Hei" w:cs="Lohit Devanagari"/>
        </w:rPr>
        <w:tab/>
      </w:r>
      <w:r>
        <w:rPr>
          <w:rFonts w:eastAsia="WenQuanYi Micro Hei" w:cs="Lohit Devanagari"/>
        </w:rPr>
        <w:tab/>
      </w:r>
      <w:r>
        <w:rPr>
          <w:rFonts w:eastAsia="WenQuanYi Micro Hei" w:cs="Lohit Devanagari"/>
        </w:rPr>
        <w:tab/>
      </w:r>
      <w:r>
        <w:rPr>
          <w:rFonts w:eastAsia="WenQuanYi Micro Hei" w:cs="Lohit Devanagari"/>
        </w:rPr>
        <w:tab/>
      </w:r>
      <w:r>
        <w:rPr>
          <w:rFonts w:eastAsia="WenQuanYi Micro Hei" w:cs="Lohit Devanagari"/>
        </w:rPr>
        <w:tab/>
      </w:r>
      <w:r>
        <w:rPr>
          <w:rFonts w:eastAsia="WenQuanYi Micro Hei" w:cs="Lohit Devanagari"/>
        </w:rPr>
        <w:tab/>
      </w:r>
      <w:r>
        <w:rPr>
          <w:rFonts w:eastAsia="WenQuanYi Micro Hei" w:cs="Lohit Devanagari"/>
        </w:rPr>
        <w:tab/>
      </w:r>
      <w:r>
        <w:rPr>
          <w:rFonts w:eastAsia="WenQuanYi Micro Hei" w:cs="Lohit Devanagari"/>
        </w:rPr>
        <w:tab/>
      </w:r>
      <w:r>
        <w:rPr>
          <w:rFonts w:eastAsia="WenQuanYi Micro Hei" w:cs="Lohit Devanagari"/>
        </w:rPr>
        <w:tab/>
      </w:r>
      <w:r>
        <w:rPr>
          <w:rFonts w:eastAsia="WenQuanYi Micro Hei" w:cs="Lohit Devanagari"/>
        </w:rPr>
        <w:t xml:space="preserve">Б.М.Пудалов</w:t>
      </w:r>
    </w:p>
    <w:sectPr>
      <w:type w:val="continuous"/>
      <w:pgSz w:w="11906" w:h="16838"/>
      <w:pgMar w:top="1134" w:right="851" w:bottom="1134" w:left="1418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hit Devanagari">
    <w:panose1 w:val="020B0600000000000000"/>
  </w:font>
  <w:font w:name="WenQuanYi Micro Hei">
    <w:panose1 w:val="020B06060308040202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 xml:space="preserve">2</w:t>
    </w:r>
    <w:r>
      <w:rPr>
        <w:rStyle w:val="afb"/>
      </w:rPr>
      <w:fldChar w:fldCharType="end"/>
    </w:r>
  </w:p>
  <w:p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<wp:simplePos x="0" y="0"/>
              <wp:positionH relativeFrom="column">
                <wp:posOffset>979805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1" name="_x0000_s2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959860" cy="52705"/>
                        <a:chOff x="3321" y="3423"/>
                        <a:chExt cx="6200" cy="83"/>
                      </a:xfrm>
                    </wpg:grpSpPr>
                    <wps:wsp>
                      <wps:cNvPr id="274027406" name="Полилиния: фигура 274027406"/>
                      <wps:cNvSpPr/>
                      <wps:spPr bwMode="auto">
                        <a:xfrm>
                          <a:off x="9441" y="3423"/>
                          <a:ext cx="80" cy="83"/>
                        </a:xfrm>
                        <a:custGeom>
                          <a:avLst/>
                          <a:gdLst>
                            <a:gd name="gd0" fmla="val 65536"/>
                            <a:gd name="gd1" fmla="val 82"/>
                            <a:gd name="gd2" fmla="val 83"/>
                            <a:gd name="gd3" fmla="val 82"/>
                            <a:gd name="gd4" fmla="val 0"/>
                            <a:gd name="gd5" fmla="val 0"/>
                            <a:gd name="gd6" fmla="val 0"/>
                          </a:gdLst>
                          <a:ahLst/>
                          <a:cxnLst/>
                          <a:rect l="0" t="0" r="r" b="b"/>
                          <a:pathLst>
                            <a:path w="82" h="83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Полилиния: фигура 1"/>
                      <wps:cNvSpPr/>
                      <wps:spPr bwMode="auto">
                        <a:xfrm rot="16199998">
                          <a:off x="3320" y="3423"/>
                          <a:ext cx="82" cy="81"/>
                        </a:xfrm>
                        <a:custGeom>
                          <a:avLst/>
                          <a:gdLst>
                            <a:gd name="gd0" fmla="val 65536"/>
                            <a:gd name="gd1" fmla="val 82"/>
                            <a:gd name="gd2" fmla="val 83"/>
                            <a:gd name="gd3" fmla="val 82"/>
                            <a:gd name="gd4" fmla="val 0"/>
                            <a:gd name="gd5" fmla="val 0"/>
                            <a:gd name="gd6" fmla="val 0"/>
                          </a:gdLst>
                          <a:ahLst/>
                          <a:cxnLst/>
                          <a:rect l="0" t="0" r="r" b="b"/>
                          <a:pathLst>
                            <a:path w="82" h="83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z-index:-250609663;o:allowoverlap:true;o:allowincell:true;mso-position-horizontal-relative:text;margin-left:77.15pt;mso-position-horizontal:absolute;mso-position-vertical-relative:text;margin-top:185.95pt;mso-position-vertical:absolute;width:311.80pt;height:4.15pt;mso-wrap-distance-left:9.00pt;mso-wrap-distance-top:0.00pt;mso-wrap-distance-right:9.00pt;mso-wrap-distance-bottom:0.00pt;" coordorigin="33,34" coordsize="62,0">
              <v:shape id="shape 1" o:spid="_x0000_s1" style="position:absolute;left:94;top:34;width:0;height:0;visibility:visible;" path="m100000,100000l100000,0l0,0e" coordsize="100000,100000" filled="f" strokecolor="#000000" strokeweight="0.50pt">
                <v:path textboxrect="0,0,100000,100000"/>
              </v:shape>
              <v:shape id="shape 2" o:spid="_x0000_s2" style="position:absolute;left:33;top:34;width:0;height:0;rotation:269;visibility:visible;" path="m100000,100000l100000,0l0,0e" coordsize="100000,100000" filled="f" strokecolor="#000000" strokeweight="0.50pt">
                <v:path textboxrect="0,0,100000,100000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-38734</wp:posOffset>
              </wp:positionV>
              <wp:extent cx="6264615" cy="2400300"/>
              <wp:effectExtent l="6350" t="6350" r="6350" b="6350"/>
              <wp:wrapNone/>
              <wp:docPr id="2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264614" cy="2400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633727" cy="610974"/>
                                    <wp:effectExtent l="0" t="0" r="0" b="0"/>
                                    <wp:docPr id="3" name="_x0000_i2118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  <pic:nv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2"/>
                                                </a:ext>
                                              </a:extLst>
                                            </a:blip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3727" cy="61097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3" o:spid="_x0000_s3" type="#_x0000_t75" style="width:49.90pt;height:48.11pt;mso-wrap-distance-left:0.00pt;mso-wrap-distance-top:0.00pt;mso-wrap-distance-right:0.00pt;mso-wrap-distance-bottom:0.00pt;" stroked="f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</w:p>
                        <w:p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Комитет</w:t>
                          </w:r>
                        </w:p>
                        <w:p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по делам архивов Нижегородской области</w:t>
                          </w:r>
                        </w:p>
                        <w:p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</w:t>
                          </w:r>
                        </w:p>
                        <w:p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№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Cs w:val="28"/>
                            </w:rPr>
                            <w:t xml:space="preserve">________________</w:t>
                          </w:r>
                        </w:p>
                        <w:p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 xml:space="preserve">г. Нижний Новгород</w:t>
                          </w:r>
                        </w:p>
                        <w:p>
                          <w:pPr>
                            <w:tabs>
                              <w:tab w:val="left" w:pos="0"/>
                            </w:tabs>
                            <w:ind w:right="-70"/>
                            <w:rPr>
                              <w:sz w:val="20"/>
                            </w:rPr>
                          </w:pPr>
                        </w:p>
                        <w:p>
                          <w:pPr>
                            <w:tabs>
                              <w:tab w:val="left" w:pos="0"/>
                            </w:tabs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>
                          <w:pPr>
                            <w:tabs>
                              <w:tab w:val="left" w:pos="0"/>
                            </w:tabs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  <w:p>
                          <w:pPr>
                            <w:spacing w:line="240" w:lineRule="atLeast"/>
                            <w:ind w:left="-142" w:right="-113"/>
                            <w:jc w:val="center"/>
                          </w:pPr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524288;o:allowoverlap:true;o:allowincell:true;mso-position-horizontal-relative:page;margin-left:67.05pt;mso-position-horizontal:absolute;mso-position-vertical-relative:text;margin-top:-3.05pt;mso-position-vertical:absolute;width:493.28pt;height:189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633727" cy="610974"/>
                              <wp:effectExtent l="0" t="0" r="0" b="0"/>
                              <wp:docPr id="3" name="_x0000_i211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  <pic:nvPr/>
                                    </pic:nvPicPr>
                                    <pic:blipFill>
                                      <a:blip r:embed="rId1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2"/>
                                          </a:ext>
                                        </a:extLst>
                                      </a:blip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33727" cy="6109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3" o:spid="_x0000_s3" type="#_x0000_t75" style="width:49.90pt;height:48.11pt;mso-wrap-distance-left:0.00pt;mso-wrap-distance-top:0.00pt;mso-wrap-distance-right:0.00pt;mso-wrap-distance-bottom:0.00pt;" stroked="f">
                              <v:path textboxrect="0,0,0,0"/>
                              <v:imagedata r:id="rId1" o:title=""/>
                            </v:shape>
                          </w:pict>
                        </mc:Fallback>
                      </mc:AlternateContent>
                    </w:r>
                  </w:p>
                  <w:p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Комитет</w:t>
                    </w:r>
                  </w:p>
                  <w:p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по делам архивов Нижегородской области</w:t>
                    </w:r>
                  </w:p>
                  <w:p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</w:t>
                    </w:r>
                  </w:p>
                  <w:p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№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szCs w:val="28"/>
                      </w:rPr>
                      <w:t xml:space="preserve">________________</w:t>
                    </w:r>
                  </w:p>
                  <w:p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 xml:space="preserve">г. Нижний Новгород</w:t>
                    </w:r>
                  </w:p>
                  <w:p>
                    <w:pPr>
                      <w:tabs>
                        <w:tab w:val="left" w:pos="0"/>
                      </w:tabs>
                      <w:ind w:right="-70"/>
                      <w:rPr>
                        <w:sz w:val="20"/>
                      </w:rPr>
                    </w:pPr>
                  </w:p>
                  <w:p>
                    <w:pPr>
                      <w:tabs>
                        <w:tab w:val="left" w:pos="0"/>
                      </w:tabs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>
                    <w:pPr>
                      <w:tabs>
                        <w:tab w:val="left" w:pos="0"/>
                      </w:tabs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  <w:p>
                    <w:pPr>
                      <w:spacing w:line="240" w:lineRule="atLeast"/>
                      <w:ind w:left="-142" w:right="-113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styleId="ac" w:customStyle="1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styleId="ae" w:customStyle="1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f0" w:customStyle="1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styleId="TableGridLight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2">
    <w:name w:val="Hyperlink"/>
    <w:basedOn w:val="a0"/>
    <w:rPr>
      <w:color w:val="auto"/>
      <w:u w:val="none"/>
      <w:vertAlign w:val="baseli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styleId="af4" w:customStyle="1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styleId="af7" w:customStyle="1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yperlink" Target="https://kadr.nobl.ru/" TargetMode="External"/><Relationship Id="rId12" Type="http://schemas.openxmlformats.org/officeDocument/2006/relationships/hyperlink" Target="http://192.168.154.11:3000/document/redirect/12146661/0" TargetMode="External"/><Relationship Id="rId13" Type="http://schemas.openxmlformats.org/officeDocument/2006/relationships/hyperlink" Target="http://192.168.154.11:3000/document/redirect/12146661/0" TargetMode="External"/><Relationship Id="rId14" Type="http://schemas.openxmlformats.org/officeDocument/2006/relationships/hyperlink" Target="http://www.gosuslugi.ru/" TargetMode="External"/><Relationship Id="rId15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media1.sv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7968</Characters>
  <CharactersWithSpaces>9347</CharactersWithSpaces>
  <Company> </Company>
  <DocSecurity>0</DocSecurity>
  <HyperlinksChanged>false</HyperlinksChanged>
  <Lines>66</Lines>
  <LinksUpToDate>false</LinksUpToDate>
  <Manager>Крепак Ирина Олеговна</Manager>
  <Pages>5</Pages>
  <Paragraphs>18</Paragraphs>
  <ScaleCrop>false</ScaleCrop>
  <SharedDoc>false</SharedDoc>
  <Template>Normal.dotm</Template>
  <TotalTime>1</TotalTime>
  <Words>1397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Чеснокова О.И.</dc:creator>
  <cp:keywords>Бланки, шаблоны</cp:keywords>
  <cp:lastModifiedBy>kurchakova</cp:lastModifiedBy>
  <cp:revision>2</cp:revision>
  <dcterms:created xsi:type="dcterms:W3CDTF">2025-12-23T14:05:00Z</dcterms:created>
  <dcterms:modified xsi:type="dcterms:W3CDTF">2025-12-23T14:05:00Z</dcterms:modified>
  <cp:category>Бланки</cp:category>
  <cp:version>730895</cp:version>
</cp:coreProperties>
</file>